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Cs w:val="24"/>
          <w:lang w:eastAsia="ru-RU"/>
        </w:rPr>
      </w:pPr>
      <w:r w:rsidRPr="00C33971">
        <w:rPr>
          <w:rFonts w:ascii="Times New Roman" w:hAnsi="Times New Roman"/>
          <w:szCs w:val="24"/>
          <w:lang w:eastAsia="ru-RU"/>
        </w:rPr>
        <w:t>Министерство образования, науки и инновационной политики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Cs w:val="24"/>
          <w:lang w:eastAsia="ru-RU"/>
        </w:rPr>
      </w:pPr>
      <w:r w:rsidRPr="00C33971">
        <w:rPr>
          <w:rFonts w:ascii="Times New Roman" w:hAnsi="Times New Roman"/>
          <w:szCs w:val="24"/>
          <w:lang w:eastAsia="ru-RU"/>
        </w:rPr>
        <w:t xml:space="preserve"> Новосибирской области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szCs w:val="24"/>
          <w:lang w:eastAsia="ru-RU"/>
        </w:rPr>
      </w:pPr>
      <w:r w:rsidRPr="00C33971">
        <w:rPr>
          <w:rFonts w:ascii="Times New Roman" w:hAnsi="Times New Roman"/>
          <w:szCs w:val="24"/>
          <w:lang w:eastAsia="ru-RU"/>
        </w:rPr>
        <w:t xml:space="preserve">Главное управление образования </w:t>
      </w:r>
      <w:proofErr w:type="gramStart"/>
      <w:r w:rsidRPr="00C33971">
        <w:rPr>
          <w:rFonts w:ascii="Times New Roman" w:hAnsi="Times New Roman"/>
          <w:szCs w:val="24"/>
          <w:lang w:eastAsia="ru-RU"/>
        </w:rPr>
        <w:t>г</w:t>
      </w:r>
      <w:proofErr w:type="gramEnd"/>
      <w:r w:rsidRPr="00C33971">
        <w:rPr>
          <w:rFonts w:ascii="Times New Roman" w:hAnsi="Times New Roman"/>
          <w:szCs w:val="24"/>
          <w:lang w:eastAsia="ru-RU"/>
        </w:rPr>
        <w:t>. Новосибирска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color w:val="000000"/>
          <w:szCs w:val="24"/>
          <w:lang w:eastAsia="ru-RU"/>
        </w:rPr>
      </w:pPr>
      <w:r w:rsidRPr="00C33971">
        <w:rPr>
          <w:rFonts w:ascii="Times New Roman" w:hAnsi="Times New Roman"/>
          <w:color w:val="000000"/>
          <w:szCs w:val="24"/>
          <w:lang w:eastAsia="ru-RU"/>
        </w:rPr>
        <w:t>Дворец творчества детей и учащейся молодежи «Юниор»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/>
          <w:color w:val="000000"/>
          <w:szCs w:val="24"/>
          <w:lang w:eastAsia="ru-RU"/>
        </w:rPr>
      </w:pPr>
      <w:r w:rsidRPr="00C33971">
        <w:rPr>
          <w:rFonts w:ascii="Times New Roman" w:hAnsi="Times New Roman"/>
          <w:color w:val="000000"/>
          <w:szCs w:val="24"/>
          <w:lang w:eastAsia="ru-RU"/>
        </w:rPr>
        <w:t>МБОУ «Новосибирская классическая гимназия № 17»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color w:val="000000"/>
          <w:szCs w:val="24"/>
          <w:lang w:eastAsia="ru-RU"/>
        </w:rPr>
      </w:pP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color w:val="000000"/>
          <w:szCs w:val="24"/>
          <w:lang w:eastAsia="ru-RU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ПОЛОЖЕНИЕ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 xml:space="preserve">о </w:t>
      </w:r>
      <w:r>
        <w:rPr>
          <w:rFonts w:ascii="Times New Roman" w:hAnsi="Times New Roman"/>
          <w:b/>
          <w:szCs w:val="24"/>
          <w:lang w:val="en-US"/>
        </w:rPr>
        <w:t>V</w:t>
      </w:r>
      <w:r w:rsidRPr="00C33971">
        <w:rPr>
          <w:rFonts w:ascii="Times New Roman" w:hAnsi="Times New Roman"/>
          <w:b/>
          <w:szCs w:val="24"/>
        </w:rPr>
        <w:t xml:space="preserve"> открытых </w:t>
      </w:r>
      <w:proofErr w:type="spellStart"/>
      <w:r w:rsidRPr="00C33971">
        <w:rPr>
          <w:rFonts w:ascii="Times New Roman" w:hAnsi="Times New Roman"/>
          <w:b/>
          <w:szCs w:val="24"/>
        </w:rPr>
        <w:t>Тихомировских</w:t>
      </w:r>
      <w:proofErr w:type="spellEnd"/>
      <w:r w:rsidRPr="00C33971">
        <w:rPr>
          <w:rFonts w:ascii="Times New Roman" w:hAnsi="Times New Roman"/>
          <w:b/>
          <w:szCs w:val="24"/>
        </w:rPr>
        <w:t xml:space="preserve"> Чтениях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Общие положения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szCs w:val="24"/>
        </w:rPr>
      </w:pP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color w:val="000000"/>
          <w:szCs w:val="24"/>
          <w:lang w:eastAsia="ru-RU"/>
        </w:rPr>
        <w:t xml:space="preserve"> V </w:t>
      </w:r>
      <w:proofErr w:type="spellStart"/>
      <w:r w:rsidRPr="00C33971">
        <w:rPr>
          <w:rFonts w:ascii="Times New Roman" w:hAnsi="Times New Roman"/>
          <w:color w:val="000000"/>
          <w:szCs w:val="24"/>
          <w:lang w:eastAsia="ru-RU"/>
        </w:rPr>
        <w:t>Тихомировские</w:t>
      </w:r>
      <w:proofErr w:type="spellEnd"/>
      <w:r w:rsidRPr="00C33971">
        <w:rPr>
          <w:rFonts w:ascii="Times New Roman" w:hAnsi="Times New Roman"/>
          <w:color w:val="000000"/>
          <w:szCs w:val="24"/>
          <w:lang w:eastAsia="ru-RU"/>
        </w:rPr>
        <w:t xml:space="preserve"> Чтения проводятся в рамках XIX </w:t>
      </w:r>
      <w:r>
        <w:rPr>
          <w:rFonts w:ascii="Times New Roman" w:hAnsi="Times New Roman"/>
          <w:color w:val="000000"/>
          <w:szCs w:val="24"/>
          <w:lang w:eastAsia="ru-RU"/>
        </w:rPr>
        <w:t xml:space="preserve">Новосибирских </w:t>
      </w:r>
      <w:r w:rsidRPr="00C33971">
        <w:rPr>
          <w:rFonts w:ascii="Times New Roman" w:hAnsi="Times New Roman"/>
          <w:color w:val="000000"/>
          <w:szCs w:val="24"/>
          <w:lang w:eastAsia="ru-RU"/>
        </w:rPr>
        <w:t xml:space="preserve">Рождественских образовательных чтений, тема которых «Традиция и новации: культура, общество, личность», и посвящаются Перекрестному году Греции-России, </w:t>
      </w:r>
      <w:r w:rsidRPr="00C33971">
        <w:rPr>
          <w:rFonts w:ascii="Times New Roman" w:hAnsi="Times New Roman"/>
          <w:bCs/>
          <w:color w:val="000000"/>
          <w:szCs w:val="24"/>
          <w:lang w:eastAsia="ru-RU"/>
        </w:rPr>
        <w:t xml:space="preserve">1000-летию русского присутствия на Афоне, </w:t>
      </w:r>
      <w:r w:rsidRPr="00C33971">
        <w:rPr>
          <w:rFonts w:ascii="Times New Roman" w:hAnsi="Times New Roman"/>
          <w:color w:val="000000"/>
          <w:szCs w:val="24"/>
          <w:lang w:eastAsia="ru-RU"/>
        </w:rPr>
        <w:t>1000-летию со дня кончины святого равноапостольного князя Владимира, 70-летию Победы в Великой Отечественной войне, а также 85-летию Левобережья Новосибирска.</w:t>
      </w:r>
      <w:r w:rsidRPr="00C33971">
        <w:rPr>
          <w:rFonts w:ascii="Times New Roman" w:hAnsi="Times New Roman"/>
          <w:szCs w:val="24"/>
        </w:rPr>
        <w:t xml:space="preserve"> Особенностью проводимых Чтений является отражение духовно-нравственных аспектов в содержании работ учащихся, что будет способствовать реализации Концепции духовно-нравственного воспитания российских школьников, разработанной в соответствии с требованиями Закона Российской Федерации «Об образовании» (ст. 7 «Федеральные государственные образовательные стандарты»).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Цели и задачи</w:t>
      </w:r>
    </w:p>
    <w:p w:rsidR="00EE21C0" w:rsidRPr="00C33971" w:rsidRDefault="00EE21C0" w:rsidP="00EE21C0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Развитие и поддержание интереса к духовно-нравственному и историко-культурному наследию России, родного города;</w:t>
      </w:r>
    </w:p>
    <w:p w:rsidR="00EE21C0" w:rsidRPr="00C33971" w:rsidRDefault="00EE21C0" w:rsidP="00EE21C0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формирование гражданской позиции школьников через историко-краеведческую деятельность, направленную на изучение основных вех развития и становления </w:t>
      </w:r>
      <w:proofErr w:type="spellStart"/>
      <w:r w:rsidRPr="00C33971">
        <w:rPr>
          <w:rFonts w:ascii="Times New Roman" w:hAnsi="Times New Roman"/>
          <w:szCs w:val="24"/>
        </w:rPr>
        <w:t>Новониколаевска-Новосибирска</w:t>
      </w:r>
      <w:proofErr w:type="spellEnd"/>
      <w:r w:rsidRPr="00C33971">
        <w:rPr>
          <w:rFonts w:ascii="Times New Roman" w:hAnsi="Times New Roman"/>
          <w:szCs w:val="24"/>
        </w:rPr>
        <w:t xml:space="preserve"> и социально значимых для него событий; </w:t>
      </w:r>
    </w:p>
    <w:p w:rsidR="00EE21C0" w:rsidRPr="00C33971" w:rsidRDefault="00EE21C0" w:rsidP="00EE21C0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развитие интеллектуальных творческих способностей школьников через освоение способов поисково-краеведческой и научно-исследовательской работы учащимися.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Учредитель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  <w:lang w:eastAsia="ru-RU"/>
        </w:rPr>
        <w:t xml:space="preserve">Министерство образования, науки и инновационной политики  Новосибирской области </w:t>
      </w:r>
      <w:r w:rsidRPr="00C33971">
        <w:rPr>
          <w:rFonts w:ascii="Times New Roman" w:hAnsi="Times New Roman"/>
          <w:szCs w:val="24"/>
        </w:rPr>
        <w:t xml:space="preserve">при участии Новосибирской митрополии РПЦ. Главное управление образования мэрии города Новосибирска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Организатор</w:t>
      </w:r>
    </w:p>
    <w:p w:rsidR="00EE21C0" w:rsidRPr="00881DCB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МБОУ Новосибир</w:t>
      </w:r>
      <w:r>
        <w:rPr>
          <w:rFonts w:ascii="Times New Roman" w:hAnsi="Times New Roman"/>
          <w:szCs w:val="24"/>
        </w:rPr>
        <w:t>ская классическая гимназия № 17</w:t>
      </w:r>
      <w:r w:rsidRPr="00881DCB">
        <w:rPr>
          <w:rFonts w:ascii="Times New Roman" w:hAnsi="Times New Roman"/>
          <w:szCs w:val="24"/>
        </w:rPr>
        <w:t>/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Участники Чтений</w:t>
      </w:r>
    </w:p>
    <w:p w:rsidR="00EE21C0" w:rsidRPr="004720E0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color w:val="FF0000"/>
          <w:szCs w:val="24"/>
        </w:rPr>
      </w:pPr>
      <w:r w:rsidRPr="00C33971">
        <w:rPr>
          <w:rFonts w:ascii="Times New Roman" w:hAnsi="Times New Roman"/>
          <w:szCs w:val="24"/>
        </w:rPr>
        <w:t xml:space="preserve">Участниками Чтений являются учащиеся 6-11 классов школ, гимназий, лицеев </w:t>
      </w:r>
      <w:proofErr w:type="gramStart"/>
      <w:r w:rsidRPr="00C33971">
        <w:rPr>
          <w:rFonts w:ascii="Times New Roman" w:hAnsi="Times New Roman"/>
          <w:szCs w:val="24"/>
        </w:rPr>
        <w:t>г</w:t>
      </w:r>
      <w:proofErr w:type="gramEnd"/>
      <w:r w:rsidRPr="00C33971">
        <w:rPr>
          <w:rFonts w:ascii="Times New Roman" w:hAnsi="Times New Roman"/>
          <w:szCs w:val="24"/>
        </w:rPr>
        <w:t>. Новосибирска</w:t>
      </w:r>
      <w:r>
        <w:rPr>
          <w:rFonts w:ascii="Times New Roman" w:hAnsi="Times New Roman"/>
          <w:szCs w:val="24"/>
        </w:rPr>
        <w:t xml:space="preserve"> и Новосибирской области</w:t>
      </w:r>
      <w:r w:rsidRPr="00C33971">
        <w:rPr>
          <w:rFonts w:ascii="Times New Roman" w:hAnsi="Times New Roman"/>
          <w:szCs w:val="24"/>
        </w:rPr>
        <w:t xml:space="preserve">. На отдельных секциях возможны выступления студентов вузов </w:t>
      </w:r>
      <w:r w:rsidRPr="004720E0">
        <w:rPr>
          <w:rFonts w:ascii="Times New Roman" w:hAnsi="Times New Roman"/>
          <w:szCs w:val="24"/>
        </w:rPr>
        <w:t>с целью расширения аудитории и обогащения учащимися опытом научно-исследовательской деятельности</w:t>
      </w:r>
      <w:r>
        <w:rPr>
          <w:rFonts w:ascii="Times New Roman" w:hAnsi="Times New Roman"/>
          <w:szCs w:val="24"/>
        </w:rPr>
        <w:t>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Содержание Чтений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Программа Чтений направлена на формирование у учащихся ценностного отношения к истории России, своего края, к отечественному культурно-историческому наследию, способствует духовно-нравственному воспитанию школьников. Чтения проводятся при поддержке Новосибирской Епархии, Союза краеведов </w:t>
      </w:r>
      <w:proofErr w:type="gramStart"/>
      <w:r w:rsidRPr="00C33971">
        <w:rPr>
          <w:rFonts w:ascii="Times New Roman" w:hAnsi="Times New Roman"/>
          <w:szCs w:val="24"/>
        </w:rPr>
        <w:t>г</w:t>
      </w:r>
      <w:proofErr w:type="gramEnd"/>
      <w:r w:rsidRPr="00C33971">
        <w:rPr>
          <w:rFonts w:ascii="Times New Roman" w:hAnsi="Times New Roman"/>
          <w:szCs w:val="24"/>
        </w:rPr>
        <w:t xml:space="preserve">. Новосибирска, в организации и проведении Чтений примут участие преподаватели новосибирских вузов.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Секции и их тематика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i/>
          <w:szCs w:val="24"/>
        </w:rPr>
        <w:t>«Краеведение».</w:t>
      </w:r>
      <w:r w:rsidRPr="00C33971">
        <w:rPr>
          <w:rFonts w:ascii="Times New Roman" w:hAnsi="Times New Roman"/>
          <w:szCs w:val="24"/>
        </w:rPr>
        <w:t xml:space="preserve"> На секцию принимаются работы, временные рамки которых в основном ограничены дореволюционным периодом истории </w:t>
      </w:r>
      <w:proofErr w:type="spellStart"/>
      <w:r w:rsidRPr="00C33971">
        <w:rPr>
          <w:rFonts w:ascii="Times New Roman" w:hAnsi="Times New Roman"/>
          <w:szCs w:val="24"/>
        </w:rPr>
        <w:t>Новониколаевска</w:t>
      </w:r>
      <w:proofErr w:type="spellEnd"/>
      <w:r w:rsidRPr="00C33971">
        <w:rPr>
          <w:rFonts w:ascii="Times New Roman" w:hAnsi="Times New Roman"/>
          <w:szCs w:val="24"/>
        </w:rPr>
        <w:t xml:space="preserve"> и губернии, </w:t>
      </w:r>
      <w:r w:rsidRPr="00C33971">
        <w:rPr>
          <w:rFonts w:ascii="Times New Roman" w:hAnsi="Times New Roman"/>
          <w:szCs w:val="24"/>
        </w:rPr>
        <w:lastRenderedPageBreak/>
        <w:t xml:space="preserve">могут включать страницы истории, связанные с Великой Отечественной войной. В содержании работ найдут отражение особенности становления города и Новосибирской области, Левобережья. Еще одним уже традиционным направлением на Чтениях 2015 года является семейная история, исследование школьниками тем «Моя семья в летописи страны (области, города, района»), «Моя родословная».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i/>
          <w:szCs w:val="24"/>
        </w:rPr>
        <w:t>«История».</w:t>
      </w:r>
      <w:r w:rsidRPr="00C33971">
        <w:rPr>
          <w:rFonts w:ascii="Times New Roman" w:hAnsi="Times New Roman"/>
          <w:szCs w:val="24"/>
        </w:rPr>
        <w:t xml:space="preserve"> Секция посвящена священным страницам российской истории. Тематика представленных на эту секцию работ должна быть связана с ратным подвигом русского народа в разные периоды жизни России, с 70-летием </w:t>
      </w:r>
      <w:r w:rsidRPr="00C33971">
        <w:rPr>
          <w:rFonts w:ascii="Times New Roman" w:hAnsi="Times New Roman"/>
          <w:color w:val="000000"/>
          <w:szCs w:val="24"/>
          <w:lang w:eastAsia="ru-RU"/>
        </w:rPr>
        <w:t>Победы в Великой Отечественной войне</w:t>
      </w:r>
      <w:r w:rsidRPr="00C33971">
        <w:rPr>
          <w:rFonts w:ascii="Times New Roman" w:hAnsi="Times New Roman"/>
          <w:szCs w:val="24"/>
        </w:rPr>
        <w:t>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i/>
          <w:szCs w:val="24"/>
        </w:rPr>
        <w:t>«Филология».</w:t>
      </w:r>
      <w:r w:rsidRPr="00C33971">
        <w:rPr>
          <w:rFonts w:ascii="Times New Roman" w:hAnsi="Times New Roman"/>
          <w:szCs w:val="24"/>
        </w:rPr>
        <w:t xml:space="preserve"> На секции предполагается рассматривать работы, связанные с исследованием стихотворных и прозаических текстов русских поэтов и писателей Х</w:t>
      </w:r>
      <w:proofErr w:type="gramStart"/>
      <w:r w:rsidRPr="00C33971">
        <w:rPr>
          <w:rFonts w:ascii="Times New Roman" w:hAnsi="Times New Roman"/>
          <w:szCs w:val="24"/>
        </w:rPr>
        <w:t>I</w:t>
      </w:r>
      <w:proofErr w:type="gramEnd"/>
      <w:r w:rsidRPr="00C33971">
        <w:rPr>
          <w:rFonts w:ascii="Times New Roman" w:hAnsi="Times New Roman"/>
          <w:szCs w:val="24"/>
        </w:rPr>
        <w:t>Х-ХХ вв., где четко просматриваются исторические и духовно-нравственные аспекты. Следует обратить внимание на то, что 2015 год в России объявлен Годом литературы. Тематика отдельных работ может быть связана с ис</w:t>
      </w:r>
      <w:r>
        <w:rPr>
          <w:rFonts w:ascii="Times New Roman" w:hAnsi="Times New Roman"/>
          <w:szCs w:val="24"/>
        </w:rPr>
        <w:t>с</w:t>
      </w:r>
      <w:r w:rsidRPr="00C33971">
        <w:rPr>
          <w:rFonts w:ascii="Times New Roman" w:hAnsi="Times New Roman"/>
          <w:szCs w:val="24"/>
        </w:rPr>
        <w:t>ледованием топонимики Сибири, носить краеведческий характер. При наличии более 10 работ могут быть выделены подсекции «Русский язык» и «Литература».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i/>
          <w:szCs w:val="24"/>
        </w:rPr>
        <w:t>«Литературное краеведение».</w:t>
      </w:r>
      <w:r w:rsidRPr="00C33971">
        <w:rPr>
          <w:rFonts w:ascii="Times New Roman" w:hAnsi="Times New Roman"/>
          <w:szCs w:val="24"/>
        </w:rPr>
        <w:t xml:space="preserve"> Работы учащихся должны содержать анализ произведений новосибирских авторов, исследование «белых пятен» в литературном наследии Сибири.</w:t>
      </w:r>
    </w:p>
    <w:p w:rsidR="00EE21C0" w:rsidRPr="00C33971" w:rsidRDefault="00EE21C0" w:rsidP="00EE21C0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color w:val="000000"/>
          <w:szCs w:val="24"/>
          <w:lang w:eastAsia="ru-RU"/>
        </w:rPr>
      </w:pPr>
      <w:r w:rsidRPr="00C33971">
        <w:rPr>
          <w:rFonts w:ascii="Times New Roman" w:hAnsi="Times New Roman"/>
          <w:i/>
          <w:szCs w:val="24"/>
        </w:rPr>
        <w:t>«Православная культура»</w:t>
      </w:r>
      <w:r w:rsidRPr="00C33971">
        <w:rPr>
          <w:rFonts w:ascii="Times New Roman" w:hAnsi="Times New Roman"/>
          <w:szCs w:val="24"/>
        </w:rPr>
        <w:t xml:space="preserve">. Содержание докладов и научных работ, сданных на эту секцию, должно быть связано со святынями земли Русской, с выдающимися событиями в родной стране, с великими памятниками православной культуры России, со знаменательными датами: </w:t>
      </w:r>
      <w:r w:rsidRPr="00C33971">
        <w:rPr>
          <w:rFonts w:ascii="Times New Roman" w:hAnsi="Times New Roman"/>
          <w:bCs/>
          <w:color w:val="000000"/>
          <w:szCs w:val="24"/>
          <w:lang w:eastAsia="ru-RU"/>
        </w:rPr>
        <w:t xml:space="preserve">1000-летию русского присутствия на Афоне, </w:t>
      </w:r>
      <w:r w:rsidRPr="00C33971">
        <w:rPr>
          <w:rFonts w:ascii="Times New Roman" w:hAnsi="Times New Roman"/>
          <w:color w:val="000000"/>
          <w:szCs w:val="24"/>
          <w:lang w:eastAsia="ru-RU"/>
        </w:rPr>
        <w:t>1000-летию со дня кончины святого равноапостольного князя Владимира.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Порядок проведения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b/>
          <w:szCs w:val="24"/>
        </w:rPr>
        <w:t>8 декабря 2015 г.</w:t>
      </w:r>
      <w:r w:rsidRPr="00C33971">
        <w:rPr>
          <w:rFonts w:ascii="Times New Roman" w:hAnsi="Times New Roman"/>
          <w:szCs w:val="24"/>
        </w:rPr>
        <w:t xml:space="preserve"> </w:t>
      </w:r>
      <w:r w:rsidRPr="002A0E0A">
        <w:rPr>
          <w:rFonts w:ascii="Times New Roman" w:hAnsi="Times New Roman"/>
          <w:b/>
          <w:szCs w:val="24"/>
        </w:rPr>
        <w:t>в 11.30 – регистрация участников, 12.00</w:t>
      </w:r>
      <w:r w:rsidRPr="00C33971">
        <w:rPr>
          <w:rFonts w:ascii="Times New Roman" w:hAnsi="Times New Roman"/>
          <w:b/>
          <w:color w:val="FF0000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открытие, </w:t>
      </w:r>
      <w:r w:rsidRPr="00C33971">
        <w:rPr>
          <w:rFonts w:ascii="Times New Roman" w:hAnsi="Times New Roman"/>
          <w:szCs w:val="24"/>
        </w:rPr>
        <w:t>работа секций.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9, 10 декабря 2015 г. – подведение итогов, подготовка к награждению.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b/>
          <w:szCs w:val="24"/>
        </w:rPr>
        <w:t>11 декабря 2015 г.</w:t>
      </w:r>
      <w:r w:rsidRPr="00C33971">
        <w:rPr>
          <w:rFonts w:ascii="Times New Roman" w:hAnsi="Times New Roman"/>
          <w:szCs w:val="24"/>
        </w:rPr>
        <w:t xml:space="preserve"> </w:t>
      </w:r>
      <w:r w:rsidRPr="00C33971">
        <w:rPr>
          <w:rFonts w:ascii="Times New Roman" w:hAnsi="Times New Roman"/>
          <w:b/>
          <w:szCs w:val="24"/>
        </w:rPr>
        <w:t>в 13.00</w:t>
      </w:r>
      <w:r w:rsidRPr="00C33971">
        <w:rPr>
          <w:rFonts w:ascii="Times New Roman" w:hAnsi="Times New Roman"/>
          <w:szCs w:val="24"/>
        </w:rPr>
        <w:t xml:space="preserve"> – пленарное заседание, выступление учащихся в актовом зале с защитой лучших проектов, рекомендованных на секциях.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На основе представленных заявок формируются предметные секции, при наличии 5 и более заявок по направлению.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Выступления оцениваются в соответствии с критериями (приложение 1)</w:t>
      </w:r>
      <w:r>
        <w:rPr>
          <w:rFonts w:ascii="Times New Roman" w:hAnsi="Times New Roman"/>
          <w:szCs w:val="24"/>
        </w:rPr>
        <w:t xml:space="preserve">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Требования к оформлению заявок и работ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Участникам необходимо </w:t>
      </w:r>
      <w:r w:rsidRPr="00C33971">
        <w:rPr>
          <w:rFonts w:ascii="Times New Roman" w:hAnsi="Times New Roman"/>
          <w:b/>
          <w:szCs w:val="24"/>
        </w:rPr>
        <w:t>до 25 ноября 2015 г.</w:t>
      </w:r>
      <w:r w:rsidRPr="00C33971">
        <w:rPr>
          <w:rFonts w:ascii="Times New Roman" w:hAnsi="Times New Roman"/>
          <w:szCs w:val="24"/>
        </w:rPr>
        <w:t xml:space="preserve"> отправить заявку на электронный адрес: </w:t>
      </w:r>
      <w:proofErr w:type="spellStart"/>
      <w:r w:rsidRPr="00C33971">
        <w:rPr>
          <w:rFonts w:ascii="Times New Roman" w:hAnsi="Times New Roman"/>
          <w:szCs w:val="24"/>
        </w:rPr>
        <w:t>E-mail</w:t>
      </w:r>
      <w:proofErr w:type="spellEnd"/>
      <w:r w:rsidRPr="00C33971">
        <w:rPr>
          <w:rFonts w:ascii="Times New Roman" w:hAnsi="Times New Roman"/>
          <w:szCs w:val="24"/>
        </w:rPr>
        <w:t xml:space="preserve">: </w:t>
      </w:r>
      <w:hyperlink r:id="rId5" w:history="1">
        <w:r w:rsidRPr="00C33971">
          <w:rPr>
            <w:rStyle w:val="a4"/>
            <w:rFonts w:ascii="Times New Roman" w:hAnsi="Times New Roman"/>
            <w:szCs w:val="24"/>
          </w:rPr>
          <w:t>17classgim@nios.ru</w:t>
        </w:r>
      </w:hyperlink>
      <w:r w:rsidRPr="00C33971">
        <w:rPr>
          <w:rFonts w:ascii="Times New Roman" w:hAnsi="Times New Roman"/>
          <w:szCs w:val="24"/>
        </w:rPr>
        <w:t>. В названии файла указать секцию и образовательное учреждение.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Представить работы в оргкомитет не позднее 3 декабря в электронном и бумажном варианте. Электронный вариант необходим для публикации в сборнике лучших работ на Чтениях. В названии файла указать секцию и образовательное учреждение. Объем не менее 15 страниц машинописного текста. Рабочий шрифт </w:t>
      </w:r>
      <w:proofErr w:type="spellStart"/>
      <w:r w:rsidRPr="00C33971">
        <w:rPr>
          <w:rFonts w:ascii="Times New Roman" w:hAnsi="Times New Roman"/>
          <w:szCs w:val="24"/>
        </w:rPr>
        <w:t>TimesNewRoman</w:t>
      </w:r>
      <w:proofErr w:type="spellEnd"/>
      <w:r w:rsidRPr="00C33971">
        <w:rPr>
          <w:rFonts w:ascii="Times New Roman" w:hAnsi="Times New Roman"/>
          <w:szCs w:val="24"/>
        </w:rPr>
        <w:t>, размер шрифта – 14, межстрочный интервал – 1-1,5. Размеры полей – стандартные.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proofErr w:type="gramStart"/>
      <w:r w:rsidRPr="00C33971">
        <w:rPr>
          <w:rFonts w:ascii="Times New Roman" w:hAnsi="Times New Roman"/>
          <w:szCs w:val="24"/>
        </w:rPr>
        <w:t xml:space="preserve">На титульном листе указать секцию, тему работы, фамилию, имя, отчество автора (полностью) работы, класс, школу, район, ФИО руководителя работы (полностью), квалификационная категория, контактный телефон, </w:t>
      </w:r>
      <w:proofErr w:type="spellStart"/>
      <w:r w:rsidRPr="00C33971">
        <w:rPr>
          <w:rFonts w:ascii="Times New Roman" w:hAnsi="Times New Roman"/>
          <w:szCs w:val="24"/>
        </w:rPr>
        <w:t>эл</w:t>
      </w:r>
      <w:proofErr w:type="spellEnd"/>
      <w:r w:rsidRPr="00C33971">
        <w:rPr>
          <w:rFonts w:ascii="Times New Roman" w:hAnsi="Times New Roman"/>
          <w:szCs w:val="24"/>
        </w:rPr>
        <w:t>. адрес.</w:t>
      </w:r>
      <w:proofErr w:type="gramEnd"/>
      <w:r w:rsidRPr="00C33971">
        <w:rPr>
          <w:rFonts w:ascii="Times New Roman" w:hAnsi="Times New Roman"/>
          <w:szCs w:val="24"/>
        </w:rPr>
        <w:t xml:space="preserve"> Участникам Чтений необходимо иметь при себе распечатанный экземпляр текста работы.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Работы, являющиеся рефератами опубликованных научных исследований, к рассмотрению не принимаются. В докладах, как и в исследовательских работах, должен быть самостоятельный подход в решении поставленных цели и задач.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Жюри Чтений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lastRenderedPageBreak/>
        <w:t>Для проведения Чтений создаётся жюри. Его состав, порядок работы, система оценивания утверждается учредителями и организаторами Чтений.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В состав жюри секций входят представители: Новосибирской епархии, Новосибирского Государственного педагогического университета, Новосибирской Государственной архитектурно-художественной академии, </w:t>
      </w:r>
      <w:r>
        <w:rPr>
          <w:rFonts w:ascii="Times New Roman" w:hAnsi="Times New Roman"/>
          <w:szCs w:val="24"/>
        </w:rPr>
        <w:t xml:space="preserve">Сибирского государственного университета </w:t>
      </w:r>
      <w:proofErr w:type="spellStart"/>
      <w:r>
        <w:rPr>
          <w:rFonts w:ascii="Times New Roman" w:hAnsi="Times New Roman"/>
          <w:szCs w:val="24"/>
        </w:rPr>
        <w:t>геосистем</w:t>
      </w:r>
      <w:proofErr w:type="spellEnd"/>
      <w:r>
        <w:rPr>
          <w:rFonts w:ascii="Times New Roman" w:hAnsi="Times New Roman"/>
          <w:szCs w:val="24"/>
        </w:rPr>
        <w:t xml:space="preserve"> и технологий, </w:t>
      </w:r>
      <w:r w:rsidRPr="00C33971">
        <w:rPr>
          <w:rFonts w:ascii="Times New Roman" w:hAnsi="Times New Roman"/>
          <w:szCs w:val="24"/>
        </w:rPr>
        <w:t xml:space="preserve">Союза писателей России, краеведов </w:t>
      </w:r>
      <w:proofErr w:type="gramStart"/>
      <w:r w:rsidRPr="00C33971">
        <w:rPr>
          <w:rFonts w:ascii="Times New Roman" w:hAnsi="Times New Roman"/>
          <w:szCs w:val="24"/>
        </w:rPr>
        <w:t>г</w:t>
      </w:r>
      <w:proofErr w:type="gramEnd"/>
      <w:r w:rsidRPr="00C33971">
        <w:rPr>
          <w:rFonts w:ascii="Times New Roman" w:hAnsi="Times New Roman"/>
          <w:szCs w:val="24"/>
        </w:rPr>
        <w:t>. Новосибирска, Городского центра истории Новосибирской книги, Государственного архива Новосибирской области</w:t>
      </w:r>
      <w:r w:rsidRPr="004720E0">
        <w:rPr>
          <w:rFonts w:ascii="Times New Roman" w:hAnsi="Times New Roman"/>
          <w:szCs w:val="24"/>
        </w:rPr>
        <w:t>, музея города Новосибирска и</w:t>
      </w:r>
      <w:r w:rsidRPr="00C33971">
        <w:rPr>
          <w:rFonts w:ascii="Times New Roman" w:hAnsi="Times New Roman"/>
          <w:szCs w:val="24"/>
        </w:rPr>
        <w:t xml:space="preserve"> </w:t>
      </w:r>
      <w:r w:rsidRPr="002A0E0A">
        <w:rPr>
          <w:rFonts w:ascii="Times New Roman" w:hAnsi="Times New Roman"/>
          <w:szCs w:val="24"/>
        </w:rPr>
        <w:t>других учреждений</w:t>
      </w:r>
      <w:r>
        <w:rPr>
          <w:rFonts w:ascii="Times New Roman" w:hAnsi="Times New Roman"/>
          <w:szCs w:val="24"/>
        </w:rPr>
        <w:t>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Подведение итогов и награждение участников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Подведение итогов Чтений состоится </w:t>
      </w:r>
      <w:r w:rsidRPr="00C33971">
        <w:rPr>
          <w:rFonts w:ascii="Times New Roman" w:hAnsi="Times New Roman"/>
          <w:b/>
          <w:szCs w:val="24"/>
        </w:rPr>
        <w:t>11 декабря 2015 г.</w:t>
      </w:r>
      <w:r w:rsidRPr="00C33971">
        <w:rPr>
          <w:rFonts w:ascii="Times New Roman" w:hAnsi="Times New Roman"/>
          <w:szCs w:val="24"/>
        </w:rPr>
        <w:t xml:space="preserve"> в 13.00 в актовом зале гимназии через 2 дня после окончания работы секций. </w:t>
      </w:r>
    </w:p>
    <w:p w:rsidR="00EE21C0" w:rsidRPr="00493EC5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493EC5">
        <w:rPr>
          <w:rFonts w:ascii="Times New Roman" w:hAnsi="Times New Roman"/>
          <w:szCs w:val="24"/>
        </w:rPr>
        <w:t>Награждение в номинации «</w:t>
      </w:r>
      <w:r w:rsidRPr="00493EC5">
        <w:rPr>
          <w:rFonts w:ascii="Times New Roman" w:hAnsi="Times New Roman"/>
          <w:szCs w:val="24"/>
          <w:u w:val="single"/>
        </w:rPr>
        <w:t>Лучшая исследовательская работа</w:t>
      </w:r>
      <w:r w:rsidRPr="00493EC5">
        <w:rPr>
          <w:rFonts w:ascii="Times New Roman" w:hAnsi="Times New Roman"/>
          <w:szCs w:val="24"/>
        </w:rPr>
        <w:t xml:space="preserve">» проводится в каждой секции, на секции «Православная культура» вводится еще одна номинация – «Лучший </w:t>
      </w:r>
      <w:r w:rsidRPr="00493EC5">
        <w:rPr>
          <w:rFonts w:ascii="Times New Roman" w:hAnsi="Times New Roman"/>
          <w:szCs w:val="24"/>
          <w:u w:val="single"/>
        </w:rPr>
        <w:t>доклад</w:t>
      </w:r>
      <w:r w:rsidRPr="00493EC5">
        <w:rPr>
          <w:rFonts w:ascii="Times New Roman" w:hAnsi="Times New Roman"/>
          <w:szCs w:val="24"/>
        </w:rPr>
        <w:t>»: в работах учащихся могут быть элементы исследования.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>Все участники Чтений получают сертификаты участников.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 xml:space="preserve">Лучшие работы отмечаются дипломами и грамотами.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b/>
          <w:szCs w:val="24"/>
        </w:rPr>
        <w:t>Контактные телефоны:</w:t>
      </w:r>
      <w:r w:rsidRPr="00C33971">
        <w:rPr>
          <w:rFonts w:ascii="Times New Roman" w:hAnsi="Times New Roman"/>
          <w:szCs w:val="24"/>
        </w:rPr>
        <w:t xml:space="preserve"> (383)301-50-04, 8-913-900-22-83 – </w:t>
      </w:r>
      <w:r w:rsidRPr="00C33971">
        <w:rPr>
          <w:rFonts w:ascii="Times New Roman" w:hAnsi="Times New Roman"/>
          <w:b/>
          <w:i/>
          <w:szCs w:val="24"/>
        </w:rPr>
        <w:t xml:space="preserve">Яковлева Людмила </w:t>
      </w:r>
      <w:proofErr w:type="spellStart"/>
      <w:r w:rsidRPr="00C33971">
        <w:rPr>
          <w:rFonts w:ascii="Times New Roman" w:hAnsi="Times New Roman"/>
          <w:b/>
          <w:i/>
          <w:szCs w:val="24"/>
        </w:rPr>
        <w:t>Демьяновна</w:t>
      </w:r>
      <w:proofErr w:type="spellEnd"/>
      <w:r w:rsidRPr="00C33971">
        <w:rPr>
          <w:rFonts w:ascii="Times New Roman" w:hAnsi="Times New Roman"/>
          <w:b/>
          <w:szCs w:val="24"/>
        </w:rPr>
        <w:t xml:space="preserve">, </w:t>
      </w:r>
      <w:r w:rsidRPr="00C33971">
        <w:rPr>
          <w:rFonts w:ascii="Times New Roman" w:hAnsi="Times New Roman"/>
          <w:szCs w:val="24"/>
        </w:rPr>
        <w:t>куратор проекта, руководитель музея «У истоков города» МБОУ Новосибирская классическая гимназия № 17.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  <w:lang w:val="de-DE"/>
        </w:rPr>
      </w:pPr>
      <w:r w:rsidRPr="00C33971">
        <w:rPr>
          <w:rFonts w:ascii="Times New Roman" w:hAnsi="Times New Roman"/>
          <w:szCs w:val="24"/>
          <w:lang w:val="de-DE"/>
        </w:rPr>
        <w:t>E-</w:t>
      </w:r>
      <w:proofErr w:type="spellStart"/>
      <w:r w:rsidRPr="00C33971">
        <w:rPr>
          <w:rFonts w:ascii="Times New Roman" w:hAnsi="Times New Roman"/>
          <w:szCs w:val="24"/>
          <w:lang w:val="de-DE"/>
        </w:rPr>
        <w:t>mail</w:t>
      </w:r>
      <w:proofErr w:type="spellEnd"/>
      <w:r w:rsidRPr="00C33971">
        <w:rPr>
          <w:rFonts w:ascii="Times New Roman" w:hAnsi="Times New Roman"/>
          <w:szCs w:val="24"/>
          <w:lang w:val="de-DE"/>
        </w:rPr>
        <w:t xml:space="preserve"> </w:t>
      </w:r>
      <w:r w:rsidRPr="00C33971">
        <w:rPr>
          <w:rFonts w:ascii="Times New Roman" w:hAnsi="Times New Roman"/>
          <w:szCs w:val="24"/>
        </w:rPr>
        <w:t>гимназии</w:t>
      </w:r>
      <w:r w:rsidRPr="00C33971">
        <w:rPr>
          <w:rFonts w:ascii="Times New Roman" w:hAnsi="Times New Roman"/>
          <w:szCs w:val="24"/>
          <w:lang w:val="de-DE"/>
        </w:rPr>
        <w:t xml:space="preserve">: </w:t>
      </w:r>
      <w:hyperlink r:id="rId6" w:history="1">
        <w:r w:rsidRPr="00C33971">
          <w:rPr>
            <w:rStyle w:val="a4"/>
            <w:rFonts w:ascii="Times New Roman" w:hAnsi="Times New Roman"/>
            <w:szCs w:val="24"/>
            <w:lang w:val="de-DE"/>
          </w:rPr>
          <w:t>17classgim@nios.ru</w:t>
        </w:r>
      </w:hyperlink>
      <w:r>
        <w:rPr>
          <w:rStyle w:val="a4"/>
          <w:rFonts w:ascii="Times New Roman" w:hAnsi="Times New Roman"/>
          <w:szCs w:val="24"/>
        </w:rPr>
        <w:t xml:space="preserve">; </w:t>
      </w:r>
      <w:r w:rsidRPr="00C33971">
        <w:rPr>
          <w:rFonts w:ascii="Times New Roman" w:hAnsi="Times New Roman"/>
          <w:szCs w:val="24"/>
          <w:lang w:val="de-DE"/>
        </w:rPr>
        <w:t>E-</w:t>
      </w:r>
      <w:proofErr w:type="spellStart"/>
      <w:r w:rsidRPr="00C33971">
        <w:rPr>
          <w:rFonts w:ascii="Times New Roman" w:hAnsi="Times New Roman"/>
          <w:szCs w:val="24"/>
          <w:lang w:val="de-DE"/>
        </w:rPr>
        <w:t>mail</w:t>
      </w:r>
      <w:proofErr w:type="spellEnd"/>
      <w:r>
        <w:rPr>
          <w:rFonts w:ascii="Times New Roman" w:hAnsi="Times New Roman"/>
          <w:szCs w:val="24"/>
        </w:rPr>
        <w:t xml:space="preserve"> куратора проекта</w:t>
      </w:r>
      <w:bookmarkStart w:id="0" w:name="_GoBack"/>
      <w:bookmarkEnd w:id="0"/>
      <w:r w:rsidRPr="00C33971">
        <w:rPr>
          <w:rFonts w:ascii="Times New Roman" w:hAnsi="Times New Roman"/>
          <w:szCs w:val="24"/>
          <w:lang w:val="de-DE"/>
        </w:rPr>
        <w:t xml:space="preserve">: </w:t>
      </w:r>
      <w:hyperlink r:id="rId7" w:history="1">
        <w:r w:rsidRPr="00C33971">
          <w:rPr>
            <w:rStyle w:val="a4"/>
            <w:rFonts w:ascii="Times New Roman" w:hAnsi="Times New Roman"/>
            <w:szCs w:val="24"/>
            <w:lang w:val="de-DE"/>
          </w:rPr>
          <w:t>16051951@mail.ru</w:t>
        </w:r>
      </w:hyperlink>
      <w:r w:rsidRPr="00C33971">
        <w:rPr>
          <w:rFonts w:ascii="Times New Roman" w:hAnsi="Times New Roman"/>
          <w:szCs w:val="24"/>
          <w:lang w:val="de-DE"/>
        </w:rPr>
        <w:t>.</w:t>
      </w:r>
      <w:r w:rsidRPr="00537CFA">
        <w:rPr>
          <w:rFonts w:ascii="Times New Roman" w:hAnsi="Times New Roman"/>
          <w:szCs w:val="24"/>
        </w:rPr>
        <w:t xml:space="preserve">  </w:t>
      </w:r>
    </w:p>
    <w:p w:rsidR="00EE21C0" w:rsidRPr="00C33971" w:rsidRDefault="00EE21C0" w:rsidP="00EE21C0">
      <w:pPr>
        <w:spacing w:after="0" w:line="240" w:lineRule="auto"/>
        <w:jc w:val="right"/>
        <w:rPr>
          <w:rFonts w:ascii="Times New Roman" w:hAnsi="Times New Roman"/>
          <w:bCs/>
          <w:i/>
          <w:szCs w:val="24"/>
        </w:rPr>
      </w:pPr>
      <w:r w:rsidRPr="00C33971">
        <w:rPr>
          <w:rFonts w:ascii="Times New Roman" w:hAnsi="Times New Roman"/>
          <w:bCs/>
          <w:i/>
          <w:szCs w:val="24"/>
        </w:rPr>
        <w:t>Приложение 1</w:t>
      </w:r>
    </w:p>
    <w:p w:rsidR="00EE21C0" w:rsidRPr="00C33971" w:rsidRDefault="00EE21C0" w:rsidP="00EE21C0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C33971">
        <w:rPr>
          <w:rFonts w:ascii="Times New Roman" w:hAnsi="Times New Roman"/>
          <w:b/>
          <w:bCs/>
          <w:szCs w:val="24"/>
        </w:rPr>
        <w:t xml:space="preserve">Заявка на участие в </w:t>
      </w:r>
      <w:r w:rsidRPr="00C33971">
        <w:rPr>
          <w:rFonts w:ascii="Times New Roman" w:hAnsi="Times New Roman"/>
          <w:b/>
          <w:szCs w:val="24"/>
          <w:lang w:val="en-US"/>
        </w:rPr>
        <w:t>V</w:t>
      </w:r>
      <w:r w:rsidRPr="00C33971">
        <w:rPr>
          <w:rFonts w:ascii="Times New Roman" w:hAnsi="Times New Roman"/>
          <w:b/>
          <w:szCs w:val="24"/>
        </w:rPr>
        <w:t xml:space="preserve"> открытых </w:t>
      </w:r>
      <w:proofErr w:type="spellStart"/>
      <w:r w:rsidRPr="00C33971">
        <w:rPr>
          <w:rFonts w:ascii="Times New Roman" w:hAnsi="Times New Roman"/>
          <w:b/>
          <w:bCs/>
          <w:szCs w:val="24"/>
        </w:rPr>
        <w:t>Тихомировских</w:t>
      </w:r>
      <w:proofErr w:type="spellEnd"/>
      <w:r w:rsidRPr="00C33971">
        <w:rPr>
          <w:rFonts w:ascii="Times New Roman" w:hAnsi="Times New Roman"/>
          <w:b/>
          <w:bCs/>
          <w:szCs w:val="24"/>
        </w:rPr>
        <w:t xml:space="preserve"> Чтениях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center" w:tblpY="102"/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850"/>
        <w:gridCol w:w="1418"/>
        <w:gridCol w:w="1701"/>
        <w:gridCol w:w="1803"/>
        <w:gridCol w:w="1417"/>
      </w:tblGrid>
      <w:tr w:rsidR="00EE21C0" w:rsidRPr="00C33971" w:rsidTr="00ED752A">
        <w:trPr>
          <w:trHeight w:val="827"/>
        </w:trPr>
        <w:tc>
          <w:tcPr>
            <w:tcW w:w="1668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 xml:space="preserve">Ф.И.О. участника, тел, </w:t>
            </w:r>
            <w:proofErr w:type="spellStart"/>
            <w:r w:rsidRPr="00C33971">
              <w:rPr>
                <w:rFonts w:ascii="Times New Roman" w:hAnsi="Times New Roman"/>
                <w:szCs w:val="24"/>
              </w:rPr>
              <w:t>эл</w:t>
            </w:r>
            <w:proofErr w:type="spellEnd"/>
            <w:r w:rsidRPr="00C33971">
              <w:rPr>
                <w:rFonts w:ascii="Times New Roman" w:hAnsi="Times New Roman"/>
                <w:szCs w:val="24"/>
              </w:rPr>
              <w:t>. адрес</w:t>
            </w:r>
          </w:p>
        </w:tc>
        <w:tc>
          <w:tcPr>
            <w:tcW w:w="85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Школа, класс</w:t>
            </w:r>
          </w:p>
        </w:tc>
        <w:tc>
          <w:tcPr>
            <w:tcW w:w="1418" w:type="dxa"/>
          </w:tcPr>
          <w:p w:rsidR="00EE21C0" w:rsidRPr="00C33971" w:rsidRDefault="00EE21C0" w:rsidP="00ED752A">
            <w:pPr>
              <w:spacing w:after="0" w:line="240" w:lineRule="auto"/>
              <w:ind w:left="-108" w:firstLine="43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Секция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803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 xml:space="preserve">Ф.И.О. </w:t>
            </w:r>
            <w:proofErr w:type="gramStart"/>
            <w:r w:rsidRPr="00C33971">
              <w:rPr>
                <w:rFonts w:ascii="Times New Roman" w:hAnsi="Times New Roman"/>
                <w:szCs w:val="24"/>
              </w:rPr>
              <w:t>научного</w:t>
            </w:r>
            <w:proofErr w:type="gramEnd"/>
            <w:r w:rsidRPr="00C33971">
              <w:rPr>
                <w:rFonts w:ascii="Times New Roman" w:hAnsi="Times New Roman"/>
                <w:szCs w:val="24"/>
              </w:rPr>
              <w:t xml:space="preserve"> руководит., тел., </w:t>
            </w:r>
            <w:proofErr w:type="spellStart"/>
            <w:r w:rsidRPr="00C33971">
              <w:rPr>
                <w:rFonts w:ascii="Times New Roman" w:hAnsi="Times New Roman"/>
                <w:szCs w:val="24"/>
              </w:rPr>
              <w:t>эл</w:t>
            </w:r>
            <w:proofErr w:type="spellEnd"/>
            <w:r w:rsidRPr="00C33971">
              <w:rPr>
                <w:rFonts w:ascii="Times New Roman" w:hAnsi="Times New Roman"/>
                <w:szCs w:val="24"/>
              </w:rPr>
              <w:t>. адрес</w:t>
            </w:r>
          </w:p>
        </w:tc>
        <w:tc>
          <w:tcPr>
            <w:tcW w:w="1417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Технические средства для выступления и презентации</w:t>
            </w:r>
          </w:p>
        </w:tc>
      </w:tr>
      <w:tr w:rsidR="00EE21C0" w:rsidRPr="00C33971" w:rsidTr="00ED752A">
        <w:tc>
          <w:tcPr>
            <w:tcW w:w="1668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3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i/>
          <w:szCs w:val="24"/>
        </w:rPr>
        <w:t xml:space="preserve">Приложение 2 </w:t>
      </w: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Шкала оценки выступления – защита исследовательской работы</w:t>
      </w:r>
    </w:p>
    <w:tbl>
      <w:tblPr>
        <w:tblpPr w:leftFromText="180" w:rightFromText="180" w:vertAnchor="text" w:horzAnchor="margin" w:tblpY="198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"/>
        <w:gridCol w:w="6169"/>
        <w:gridCol w:w="1701"/>
      </w:tblGrid>
      <w:tr w:rsidR="00EE21C0" w:rsidRPr="00C33971" w:rsidTr="00ED752A">
        <w:trPr>
          <w:trHeight w:val="280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33971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33971">
              <w:rPr>
                <w:rFonts w:ascii="Times New Roman" w:hAnsi="Times New Roman"/>
                <w:b/>
                <w:szCs w:val="24"/>
              </w:rPr>
              <w:t>Критерий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ind w:left="885" w:hanging="885"/>
              <w:jc w:val="center"/>
              <w:rPr>
                <w:rFonts w:ascii="Times New Roman" w:hAnsi="Times New Roman"/>
                <w:b/>
                <w:szCs w:val="24"/>
              </w:rPr>
            </w:pPr>
            <w:r w:rsidRPr="00C33971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EE21C0" w:rsidRPr="00C33971" w:rsidTr="00ED752A">
        <w:trPr>
          <w:trHeight w:val="428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EE21C0" w:rsidRPr="00C33971" w:rsidTr="00ED752A">
        <w:trPr>
          <w:trHeight w:val="650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 xml:space="preserve">Эффективное и грамотное использование иллюстративных, </w:t>
            </w:r>
            <w:proofErr w:type="spellStart"/>
            <w:r w:rsidRPr="00C33971">
              <w:rPr>
                <w:rFonts w:ascii="Times New Roman" w:hAnsi="Times New Roman"/>
                <w:szCs w:val="24"/>
              </w:rPr>
              <w:t>мультимедийных</w:t>
            </w:r>
            <w:proofErr w:type="spellEnd"/>
            <w:r w:rsidRPr="00C33971">
              <w:rPr>
                <w:rFonts w:ascii="Times New Roman" w:hAnsi="Times New Roman"/>
                <w:szCs w:val="24"/>
              </w:rPr>
              <w:t xml:space="preserve"> средств: краткое и наглядное представление идеи выступления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EE21C0" w:rsidRPr="00C33971" w:rsidTr="00ED752A">
        <w:trPr>
          <w:trHeight w:val="588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C33971">
              <w:rPr>
                <w:rFonts w:ascii="Times New Roman" w:hAnsi="Times New Roman"/>
                <w:szCs w:val="24"/>
                <w:lang w:eastAsia="ru-RU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</w:t>
            </w:r>
          </w:p>
        </w:tc>
        <w:tc>
          <w:tcPr>
            <w:tcW w:w="1701" w:type="dxa"/>
          </w:tcPr>
          <w:p w:rsidR="00EE21C0" w:rsidRPr="00C33971" w:rsidRDefault="00EE21C0" w:rsidP="00BE7BF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 xml:space="preserve">От 0 до </w:t>
            </w:r>
            <w:r w:rsidR="00BE7BF8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E21C0" w:rsidRPr="00C33971" w:rsidTr="00ED752A">
        <w:trPr>
          <w:trHeight w:val="238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C33971">
              <w:rPr>
                <w:rFonts w:ascii="Times New Roman" w:hAnsi="Times New Roman"/>
                <w:szCs w:val="24"/>
                <w:lang w:eastAsia="ru-RU"/>
              </w:rPr>
              <w:t>Соблюдение регламента выступления: 8-10 минут.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От 0 до 1</w:t>
            </w:r>
          </w:p>
        </w:tc>
      </w:tr>
      <w:tr w:rsidR="00EE21C0" w:rsidRPr="00C33971" w:rsidTr="00ED752A">
        <w:trPr>
          <w:trHeight w:val="418"/>
        </w:trPr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C33971">
              <w:rPr>
                <w:rFonts w:ascii="Times New Roman" w:hAnsi="Times New Roman"/>
                <w:szCs w:val="24"/>
                <w:lang w:eastAsia="ru-RU"/>
              </w:rPr>
              <w:t>Исследовательский компонент:</w:t>
            </w:r>
            <w:r w:rsidRPr="00C33971">
              <w:rPr>
                <w:rFonts w:ascii="Times New Roman" w:hAnsi="Times New Roman"/>
                <w:color w:val="000000"/>
                <w:spacing w:val="-2"/>
                <w:szCs w:val="24"/>
                <w:lang w:eastAsia="ru-RU"/>
              </w:rPr>
              <w:t xml:space="preserve"> актуальность материала заявленной теме, самостоятельность в реализации цели и задач научной работы, в их решении, адекватность методов  исследования, ан</w:t>
            </w:r>
            <w:r w:rsidRPr="00C33971">
              <w:rPr>
                <w:rFonts w:ascii="Times New Roman" w:hAnsi="Times New Roman"/>
                <w:color w:val="000000"/>
                <w:spacing w:val="-1"/>
                <w:szCs w:val="24"/>
                <w:lang w:eastAsia="ru-RU"/>
              </w:rPr>
              <w:t xml:space="preserve">ализ, выводы и обобщения по проделанной работе. Наличие научного аппарата: список </w:t>
            </w:r>
            <w:r w:rsidRPr="00C33971">
              <w:rPr>
                <w:rFonts w:ascii="Times New Roman" w:hAnsi="Times New Roman"/>
                <w:color w:val="000000"/>
                <w:spacing w:val="-1"/>
                <w:szCs w:val="24"/>
                <w:lang w:eastAsia="ru-RU"/>
              </w:rPr>
              <w:lastRenderedPageBreak/>
              <w:t>цитируемых источников и литературы с указанием выходных данных, сноски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lastRenderedPageBreak/>
              <w:t>От 1-10</w:t>
            </w:r>
          </w:p>
        </w:tc>
      </w:tr>
      <w:tr w:rsidR="00EE21C0" w:rsidRPr="00C33971" w:rsidTr="00ED752A">
        <w:tc>
          <w:tcPr>
            <w:tcW w:w="460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6169" w:type="dxa"/>
          </w:tcPr>
          <w:p w:rsidR="00EE21C0" w:rsidRPr="00C33971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C33971">
              <w:rPr>
                <w:rFonts w:ascii="Times New Roman" w:hAnsi="Times New Roman"/>
                <w:szCs w:val="24"/>
                <w:lang w:eastAsia="ru-RU"/>
              </w:rPr>
              <w:t>Особое мнение жюри</w:t>
            </w:r>
          </w:p>
        </w:tc>
        <w:tc>
          <w:tcPr>
            <w:tcW w:w="1701" w:type="dxa"/>
          </w:tcPr>
          <w:p w:rsidR="00EE21C0" w:rsidRPr="00C33971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971">
              <w:rPr>
                <w:rFonts w:ascii="Times New Roman" w:hAnsi="Times New Roman"/>
                <w:szCs w:val="24"/>
              </w:rPr>
              <w:t xml:space="preserve">до 3 </w:t>
            </w:r>
          </w:p>
        </w:tc>
      </w:tr>
    </w:tbl>
    <w:p w:rsidR="00EE21C0" w:rsidRPr="00C33971" w:rsidRDefault="00EE21C0" w:rsidP="00EE21C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E21C0" w:rsidRPr="00C33971" w:rsidRDefault="00EE21C0" w:rsidP="00EE21C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E21C0" w:rsidRPr="00C33971" w:rsidRDefault="00EE21C0" w:rsidP="00EE21C0">
      <w:pPr>
        <w:pStyle w:val="a3"/>
        <w:spacing w:after="0" w:line="240" w:lineRule="auto"/>
        <w:jc w:val="right"/>
        <w:rPr>
          <w:rFonts w:ascii="Times New Roman" w:hAnsi="Times New Roman"/>
          <w:szCs w:val="24"/>
        </w:rPr>
      </w:pPr>
      <w:r w:rsidRPr="00C33971">
        <w:rPr>
          <w:rFonts w:ascii="Times New Roman" w:hAnsi="Times New Roman"/>
          <w:szCs w:val="24"/>
        </w:rPr>
        <w:tab/>
      </w:r>
    </w:p>
    <w:p w:rsidR="00EE21C0" w:rsidRPr="00C33971" w:rsidRDefault="00EE21C0" w:rsidP="00EE21C0">
      <w:pPr>
        <w:jc w:val="right"/>
        <w:rPr>
          <w:rFonts w:ascii="Times New Roman" w:hAnsi="Times New Roman"/>
          <w:i/>
          <w:szCs w:val="24"/>
        </w:rPr>
      </w:pPr>
      <w:r w:rsidRPr="00C33971">
        <w:rPr>
          <w:rFonts w:ascii="Times New Roman" w:hAnsi="Times New Roman"/>
          <w:i/>
          <w:szCs w:val="24"/>
        </w:rPr>
        <w:t>Приложение 3</w:t>
      </w:r>
    </w:p>
    <w:p w:rsidR="00EE21C0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C33971">
        <w:rPr>
          <w:rFonts w:ascii="Times New Roman" w:hAnsi="Times New Roman"/>
          <w:b/>
          <w:szCs w:val="24"/>
        </w:rPr>
        <w:t>Шкала оценки выступления – защита доклада с элементами исследования</w:t>
      </w:r>
    </w:p>
    <w:p w:rsidR="00EE21C0" w:rsidRPr="00493EC5" w:rsidRDefault="00EE21C0" w:rsidP="00EE21C0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/>
          <w:b/>
          <w:szCs w:val="24"/>
        </w:rPr>
      </w:pPr>
      <w:r w:rsidRPr="00493EC5">
        <w:rPr>
          <w:rFonts w:ascii="Times New Roman" w:hAnsi="Times New Roman"/>
          <w:b/>
          <w:szCs w:val="24"/>
        </w:rPr>
        <w:t>(на секции «Православная культура)</w:t>
      </w:r>
    </w:p>
    <w:tbl>
      <w:tblPr>
        <w:tblpPr w:leftFromText="180" w:rightFromText="180" w:vertAnchor="text" w:horzAnchor="margin" w:tblpY="760"/>
        <w:tblW w:w="8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878"/>
        <w:gridCol w:w="1454"/>
      </w:tblGrid>
      <w:tr w:rsidR="00EE21C0" w:rsidRPr="00493EC5" w:rsidTr="00ED752A"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3EC5">
              <w:rPr>
                <w:rFonts w:ascii="Times New Roman" w:hAnsi="Times New Roman"/>
                <w:b/>
                <w:bCs/>
                <w:szCs w:val="24"/>
              </w:rPr>
              <w:t>Критерий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3EC5">
              <w:rPr>
                <w:rFonts w:ascii="Times New Roman" w:hAnsi="Times New Roman"/>
                <w:b/>
                <w:bCs/>
                <w:szCs w:val="24"/>
              </w:rPr>
              <w:t>Баллы</w:t>
            </w:r>
          </w:p>
        </w:tc>
      </w:tr>
      <w:tr w:rsidR="00EE21C0" w:rsidRPr="00493EC5" w:rsidTr="00ED752A">
        <w:trPr>
          <w:trHeight w:val="452"/>
        </w:trPr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EE21C0" w:rsidRPr="00493EC5" w:rsidTr="00ED752A">
        <w:trPr>
          <w:trHeight w:val="416"/>
        </w:trPr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 xml:space="preserve">Эффективное и грамотное использование иллюстративных, </w:t>
            </w:r>
            <w:proofErr w:type="spellStart"/>
            <w:r w:rsidRPr="00493EC5">
              <w:rPr>
                <w:rFonts w:ascii="Times New Roman" w:hAnsi="Times New Roman"/>
                <w:szCs w:val="24"/>
              </w:rPr>
              <w:t>мультимедийных</w:t>
            </w:r>
            <w:proofErr w:type="spellEnd"/>
            <w:r w:rsidRPr="00493EC5">
              <w:rPr>
                <w:rFonts w:ascii="Times New Roman" w:hAnsi="Times New Roman"/>
                <w:szCs w:val="24"/>
              </w:rPr>
              <w:t xml:space="preserve"> средств: краткое и наглядное представление идеи выступления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От 0 до 3</w:t>
            </w:r>
          </w:p>
        </w:tc>
      </w:tr>
      <w:tr w:rsidR="00EE21C0" w:rsidRPr="00493EC5" w:rsidTr="00ED752A">
        <w:trPr>
          <w:trHeight w:val="549"/>
        </w:trPr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93EC5">
              <w:rPr>
                <w:rFonts w:ascii="Times New Roman" w:hAnsi="Times New Roman"/>
                <w:szCs w:val="24"/>
                <w:lang w:eastAsia="ru-RU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</w:t>
            </w:r>
          </w:p>
        </w:tc>
        <w:tc>
          <w:tcPr>
            <w:tcW w:w="1454" w:type="dxa"/>
          </w:tcPr>
          <w:p w:rsidR="00EE21C0" w:rsidRPr="00493EC5" w:rsidRDefault="00EE21C0" w:rsidP="00BE7BF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 xml:space="preserve">От 0 до </w:t>
            </w:r>
            <w:r w:rsidR="00BE7BF8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E21C0" w:rsidRPr="00493EC5" w:rsidTr="00ED752A">
        <w:trPr>
          <w:trHeight w:val="266"/>
        </w:trPr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93EC5">
              <w:rPr>
                <w:rFonts w:ascii="Times New Roman" w:hAnsi="Times New Roman"/>
                <w:szCs w:val="24"/>
                <w:lang w:eastAsia="ru-RU"/>
              </w:rPr>
              <w:t>Соблюдение регламента выступления: 5-8 минут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От 0 до 1</w:t>
            </w:r>
          </w:p>
        </w:tc>
      </w:tr>
      <w:tr w:rsidR="00EE21C0" w:rsidRPr="00493EC5" w:rsidTr="00ED752A">
        <w:trPr>
          <w:trHeight w:val="550"/>
        </w:trPr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93EC5">
              <w:rPr>
                <w:rFonts w:ascii="Times New Roman" w:hAnsi="Times New Roman"/>
                <w:szCs w:val="24"/>
                <w:lang w:eastAsia="ru-RU"/>
              </w:rPr>
              <w:t>Самостоятельный подход в реализации цели и задач: умелое использование различных точек зрения по теме, наличие собственных взглядов и выводов по проблеме.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От 0 до 5</w:t>
            </w:r>
          </w:p>
        </w:tc>
      </w:tr>
      <w:tr w:rsidR="00EE21C0" w:rsidRPr="00493EC5" w:rsidTr="00ED752A">
        <w:tc>
          <w:tcPr>
            <w:tcW w:w="675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878" w:type="dxa"/>
          </w:tcPr>
          <w:p w:rsidR="00EE21C0" w:rsidRPr="00493EC5" w:rsidRDefault="00EE21C0" w:rsidP="00ED752A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93EC5">
              <w:rPr>
                <w:rFonts w:ascii="Times New Roman" w:hAnsi="Times New Roman"/>
                <w:szCs w:val="24"/>
                <w:lang w:eastAsia="ru-RU"/>
              </w:rPr>
              <w:t>Особое мнение жюри</w:t>
            </w:r>
          </w:p>
        </w:tc>
        <w:tc>
          <w:tcPr>
            <w:tcW w:w="1454" w:type="dxa"/>
          </w:tcPr>
          <w:p w:rsidR="00EE21C0" w:rsidRPr="00493EC5" w:rsidRDefault="00EE21C0" w:rsidP="00ED752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93EC5">
              <w:rPr>
                <w:rFonts w:ascii="Times New Roman" w:hAnsi="Times New Roman"/>
                <w:szCs w:val="24"/>
              </w:rPr>
              <w:t xml:space="preserve">До 3 </w:t>
            </w:r>
          </w:p>
        </w:tc>
      </w:tr>
    </w:tbl>
    <w:p w:rsidR="00EE21C0" w:rsidRPr="00493EC5" w:rsidRDefault="00EE21C0" w:rsidP="00EE21C0">
      <w:pPr>
        <w:rPr>
          <w:szCs w:val="24"/>
        </w:rPr>
      </w:pPr>
    </w:p>
    <w:p w:rsidR="00EE21C0" w:rsidRPr="00C33971" w:rsidRDefault="00EE21C0" w:rsidP="00EE21C0">
      <w:pPr>
        <w:rPr>
          <w:szCs w:val="24"/>
        </w:rPr>
      </w:pPr>
    </w:p>
    <w:p w:rsidR="00EE21C0" w:rsidRPr="00C33971" w:rsidRDefault="00EE21C0" w:rsidP="00EE21C0">
      <w:pPr>
        <w:rPr>
          <w:szCs w:val="24"/>
        </w:rPr>
      </w:pPr>
    </w:p>
    <w:p w:rsidR="00EE21C0" w:rsidRPr="00C33971" w:rsidRDefault="00EE21C0" w:rsidP="00EE21C0">
      <w:pPr>
        <w:rPr>
          <w:szCs w:val="24"/>
        </w:rPr>
      </w:pPr>
    </w:p>
    <w:p w:rsidR="00EE21C0" w:rsidRPr="00C33971" w:rsidRDefault="00EE21C0" w:rsidP="00EE21C0">
      <w:pPr>
        <w:rPr>
          <w:szCs w:val="24"/>
        </w:rPr>
      </w:pPr>
    </w:p>
    <w:p w:rsidR="00EE21C0" w:rsidRDefault="00EE21C0" w:rsidP="00EE21C0"/>
    <w:p w:rsidR="003734E3" w:rsidRDefault="003734E3"/>
    <w:sectPr w:rsidR="003734E3" w:rsidSect="0037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5C8"/>
    <w:multiLevelType w:val="hybridMultilevel"/>
    <w:tmpl w:val="91B438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1C0"/>
    <w:rsid w:val="003734E3"/>
    <w:rsid w:val="007F05DA"/>
    <w:rsid w:val="00BE7BF8"/>
    <w:rsid w:val="00EE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C0"/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21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21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0519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7classgim@nios.ru" TargetMode="External"/><Relationship Id="rId5" Type="http://schemas.openxmlformats.org/officeDocument/2006/relationships/hyperlink" Target="mailto:17classgim@nio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1396</Words>
  <Characters>7962</Characters>
  <Application>Microsoft Office Word</Application>
  <DocSecurity>0</DocSecurity>
  <Lines>66</Lines>
  <Paragraphs>18</Paragraphs>
  <ScaleCrop>false</ScaleCrop>
  <Company>Microsoft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2015-09-09T16:57:00Z</dcterms:created>
  <dcterms:modified xsi:type="dcterms:W3CDTF">2015-10-08T18:01:00Z</dcterms:modified>
</cp:coreProperties>
</file>